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Tahoma"/>
          <w:color w:val="201F1E"/>
          <w:sz w:val="20"/>
          <w:szCs w:val="20"/>
          <w:bdr w:val="none" w:sz="0" w:space="0" w:color="auto" w:frame="1"/>
        </w:rPr>
        <w:t>Liebe Kollegen, liebe Freunde,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wegen der augenblicklichen Situation möchte ich Ihnen/Euch einige Hinweise geben.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Infektwellen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(Erkrankungen/ Todesfälle)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unterliegen  jahreszeitlichen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Schwankungen, deren Spitzen immer in den Wintermonaten sind (Nord- und Südhalbkugel um 6 Monate versetzt).(Anhang).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Es  verstarben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Im Zusammenhang mit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derGrippewelle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2017/18 in der BRD über 25000 Menschen.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Dies liegt an dem beklagenswerten Vitamin D-Mangel der Bevölkerung. (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WHO-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Studie:</w:t>
      </w:r>
      <w:r>
        <w:rPr>
          <w:rFonts w:ascii="Arial" w:hAnsi="Arial" w:cs="Arial"/>
          <w:color w:val="201F1E"/>
          <w:bdr w:val="none" w:sz="0" w:space="0" w:color="auto" w:frame="1"/>
        </w:rPr>
        <w:t>IARCWorking</w:t>
      </w:r>
      <w:proofErr w:type="spellEnd"/>
      <w:proofErr w:type="gramEnd"/>
      <w:r>
        <w:rPr>
          <w:rFonts w:ascii="Arial" w:hAnsi="Arial" w:cs="Arial"/>
          <w:color w:val="201F1E"/>
          <w:bdr w:val="none" w:sz="0" w:space="0" w:color="auto" w:frame="1"/>
        </w:rPr>
        <w:t xml:space="preserve"> Group Reports, Volume 5:Vitamin D and Cancer: ISBN 978 92 832 2446 4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);</w:t>
      </w:r>
      <w:r>
        <w:rPr>
          <w:rFonts w:ascii="Arial" w:hAnsi="Arial" w:cs="Arial"/>
          <w:color w:val="201F1E"/>
          <w:bdr w:val="none" w:sz="0" w:space="0" w:color="auto" w:frame="1"/>
        </w:rPr>
        <w:t>Anhang: Tabelle aus Ärzteblatt. 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1.Vitamin D:</w:t>
      </w:r>
      <w:r>
        <w:rPr>
          <w:rFonts w:ascii="Calibri" w:hAnsi="Calibri" w:cs="Calibri"/>
          <w:color w:val="201F1E"/>
          <w:sz w:val="22"/>
          <w:szCs w:val="22"/>
        </w:rPr>
        <w:t xml:space="preserve"> Wenn Ihr Euren aktuellen Vitamin-D3 Spiegel nicht kennt (er sollte über 80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/ml sein),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fangt  einfach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mit 20 000 Einheiten Vitamin D3  täglich an. Damit erreicht man niemals einen toxischen Wert. Bei bekanntem Vitamin-D3-Spiegel kann der Bedarf individuell berechnet werden. Die Leber bildet dann das Transporteiweiß für das aktivierte Vitamin D. Dies ist gleichzeitig mit den 3 angehängten Zuckermolekülen der Schlüssel zur Aktivierung der Immunzellen. Ohne dieses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GcMAF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geht nichts. (z.B. Vitamin D3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Dpot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 20000I.E., </w:t>
      </w:r>
      <w:hyperlink r:id="rId4" w:tgtFrame="_blank" w:tooltip="Durch Outlook geschützt: http://www.biomenta.de/. Klicken oder tippen Sie, um dem Link zu folgen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www.biomenta.de</w:t>
        </w:r>
      </w:hyperlink>
      <w:r>
        <w:rPr>
          <w:rFonts w:ascii="Calibri" w:hAnsi="Calibri" w:cs="Calibri"/>
          <w:color w:val="201F1E"/>
          <w:sz w:val="22"/>
          <w:szCs w:val="22"/>
        </w:rPr>
        <w:t>)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2. Bei einem beginnenden Virusinfekt kann man diesen beseitigen, in dem man mit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kolloidalem Silber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sich behandelt:(siehe Anhang)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-. Nase einsprühen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-. im Mund zergehen lassen (wird über die Schleimhaut resorbiert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) ,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dann runterschlucken.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Inhallieren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mit einem Ultraschallvernebler (wirkt auch gegen Bakterien, auch MRSA und ESBL).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. Vitamin C (Ascorbinsäure):</w:t>
      </w:r>
      <w:r>
        <w:rPr>
          <w:rFonts w:ascii="Calibri" w:hAnsi="Calibri" w:cs="Calibri"/>
          <w:color w:val="201F1E"/>
          <w:sz w:val="22"/>
          <w:szCs w:val="22"/>
        </w:rPr>
        <w:t> 1-2 Teelöffel über den Tag verteilt bei Infekt einnehmen. Sollte sich Durchfall einstellen, reduzieren.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higher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nature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Citricidal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Grapefruit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Seed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Extract,</w:t>
      </w:r>
      <w:r>
        <w:rPr>
          <w:rFonts w:ascii="Calibri" w:hAnsi="Calibri" w:cs="Calibri"/>
          <w:color w:val="201F1E"/>
          <w:sz w:val="22"/>
          <w:szCs w:val="22"/>
        </w:rPr>
        <w:t> ist wirksam gegen Bakterien und Viren.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 (</w:t>
      </w:r>
      <w:hyperlink r:id="rId5" w:tgtFrame="_blank" w:tooltip="Durch Outlook geschützt: http://www.highemature.com/. Klicken oder tippen Sie, um dem Link zu folgen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www.highemature.com</w:t>
        </w:r>
      </w:hyperlink>
      <w:r>
        <w:rPr>
          <w:rFonts w:ascii="Calibri" w:hAnsi="Calibri" w:cs="Calibri"/>
          <w:color w:val="201F1E"/>
          <w:sz w:val="22"/>
          <w:szCs w:val="22"/>
        </w:rPr>
        <w:t>),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Zur Unterstützung des Immunsystems ist die Einnahme von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MSM (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Diemethylsulfonylmethan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)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prophylaktisch  möglich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. Der darin enthaltene Schwefel ist notwendig für die Herstellung von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Gluthadion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(stärkstes Antioxidans des Körpers).  Dieses neutralisiert die Sauerstoffradikalen (ROS), die bei Entzündung entstehen und die Gewebsschädigungen verursachen. MSM finden Ihr im Internet (1 Kg Pulver für unter 15 €). (z.B.: </w:t>
      </w:r>
      <w:hyperlink r:id="rId6" w:tgtFrame="_blank" w:tooltip="Durch Outlook geschützt: http://www.makana.de/. Klicken oder tippen Sie, um dem Link zu folgen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www.makana.de</w:t>
        </w:r>
      </w:hyperlink>
      <w:r>
        <w:rPr>
          <w:rFonts w:ascii="Calibri" w:hAnsi="Calibri" w:cs="Calibri"/>
          <w:color w:val="201F1E"/>
          <w:sz w:val="22"/>
          <w:szCs w:val="22"/>
        </w:rPr>
        <w:t>)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Man nimmt 1-2 Teelöffel/Tag. (Da es bitter ist, vorne im Mund belassen und mit einem kräftigen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schluck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Wasser hinunterschlucken).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Alternativ kann man 1 g des Medikamentes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ACC </w:t>
      </w:r>
      <w:r>
        <w:rPr>
          <w:rFonts w:ascii="Calibri" w:hAnsi="Calibri" w:cs="Calibri"/>
          <w:color w:val="201F1E"/>
          <w:sz w:val="22"/>
          <w:szCs w:val="22"/>
        </w:rPr>
        <w:t xml:space="preserve">einnehmen. Dies besteht aus der schwefelhaltigen Aminosäure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Cystein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die ein Ausgangsstoff für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Gluthadion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ist (teurer).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Natriumhypochlorit und 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Wasserstoffsuperoxyd</w:t>
      </w:r>
      <w:r>
        <w:rPr>
          <w:rFonts w:ascii="Calibri" w:hAnsi="Calibri" w:cs="Calibri"/>
          <w:color w:val="201F1E"/>
          <w:sz w:val="22"/>
          <w:szCs w:val="22"/>
        </w:rPr>
        <w:t>  sind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Stoffe, die das menschliche Immunsystem verwendet, um Bakterien und Viren abzutöten und können bei richtiger Anwendung heilsam sein.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Diese Stoffe sind nicht zur Einnahme zugelassen, aber eigenverantwortlich anwendbar und bedürfen genauerer Information.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7. 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Ballistolöl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Gewehröl</w:t>
      </w:r>
      <w:proofErr w:type="spellEnd"/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)</w:t>
      </w:r>
      <w:r>
        <w:rPr>
          <w:rFonts w:ascii="Calibri" w:hAnsi="Calibri" w:cs="Calibri"/>
          <w:color w:val="201F1E"/>
          <w:sz w:val="22"/>
          <w:szCs w:val="22"/>
        </w:rPr>
        <w:t> :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Mit der Fingerkuppe auf die Nasenschleimhaut aufgetragen, behindert es  das Andocken der Viren auf der Nasenschleimhaut. Dieser Effekt ist auch wirksam bei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Pollenallergien.Der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Bezug ist u.a. über die Apotheke möglich.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8.  Das Signal der Entzündung wird über den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TLR4-Rezeptor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 in die Zelle geschleust. Diese reagiert zur Abwehr der Entzündung mit </w:t>
      </w:r>
      <w:proofErr w:type="gram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einer  sogenannten</w:t>
      </w:r>
      <w:proofErr w:type="gram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Entzündungskaskade, die dann auch zu den klinischen Symptomen der Erkrankung führt. Eine Unterbrechung oder Dämpfung 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lastRenderedPageBreak/>
        <w:t>lässt sich durch eine Reihe von natürlichen Stoffen erreichen (</w:t>
      </w:r>
      <w:r>
        <w:rPr>
          <w:rFonts w:ascii="Calibri" w:hAnsi="Calibri" w:cs="Calibri"/>
          <w:color w:val="201F1E"/>
          <w:sz w:val="22"/>
          <w:szCs w:val="22"/>
        </w:rPr>
        <w:t>Kurkumaextrakt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, Grüner Tee, Ingwer, ceylonesischer Zimt: </w:t>
      </w:r>
      <w:proofErr w:type="spell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Tinctura</w:t>
      </w:r>
      <w:proofErr w:type="spell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Cinnamonis</w:t>
      </w:r>
      <w:proofErr w:type="spell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, …).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9. Es gibt Hinweise darauf, dass das Antimalariamittel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Artemisinin</w:t>
      </w:r>
      <w:r>
        <w:rPr>
          <w:rFonts w:ascii="Calibri" w:hAnsi="Calibri" w:cs="Calibri"/>
          <w:color w:val="201F1E"/>
          <w:sz w:val="22"/>
          <w:szCs w:val="22"/>
        </w:rPr>
        <w:t> wirksam ist. Dies beruht auf der Bildung von Wasserstoffsuperoxyd in den Zellen, also dem natürlichen Abwehrstoff des Immunsystems.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Das Antimalariamittel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Resorchin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dass auch antientzündliche Wirkungen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hat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, ist wegen der Nebenwirkungen auf Atmung und Kreislauf und wichtiger Gegenanzeigen, mit Vorsicht zu genießen!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10. Das in Deutschland produzierte aber nicht zugelassene Medikament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Immunokine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hat eine nachgewiesene Wirksamkeit bei schwersten Infektionen. (ist aber leider in Deutschland nicht, wohl aber in Thailand erhältlich und wird vom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dezutschen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Zoll abgefangen).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11. Hände waschen und mit Anstand Abstand halten.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12. Verstand einschalten, sich von der "Schwarmintelligenz" lösen und die Kollateralschäden der 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Gesellschft</w:t>
      </w:r>
      <w:proofErr w:type="spell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 im</w:t>
      </w:r>
      <w:proofErr w:type="gram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Auge behalten, Nachbarschaftshilfe organisieren und nicht der Panik und Angst verfallen.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Es gibt US-Patente aus den 80er Jahren des letzten Jahrhunderts zu einem Medikament (APEX), das sämtliche in der Grippewelle auftretenden Probleme lösen könnte, aber nur sehr begrenzt auf dem Markt ist. (</w:t>
      </w:r>
      <w:hyperlink r:id="rId7" w:tgtFrame="_blank" w:tooltip="Durch Outlook geschützt: http://www.rexresearch.com/. Klicken oder tippen Sie, um dem Link zu folgen.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http://www.rexresearch.com/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  darin findet sich zu alle US-Patente zu </w:t>
      </w:r>
      <w:proofErr w:type="spell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Antelman</w:t>
      </w:r>
      <w:proofErr w:type="spell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-</w:t>
      </w:r>
      <w:proofErr w:type="spell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Tetrasilberoxyd</w:t>
      </w:r>
      <w:proofErr w:type="spell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: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 </w:t>
      </w:r>
      <w:hyperlink r:id="rId8" w:tgtFrame="_blank" w:tooltip="Durch Outlook geschützt: http://www.rexresearch.com/antelman/silverox.htm. Klicken oder tippen Sie, um dem Link zu folgen.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http://www.rexresearch.com/antelman/silverox.htm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)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Honi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soit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qui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mal y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pense !</w:t>
      </w:r>
      <w:proofErr w:type="gramEnd"/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Mit besten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Wünchen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für Eure Gesundheit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Christian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Humburg</w:t>
      </w:r>
      <w:proofErr w:type="spellEnd"/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09" w:lineRule="atLeast"/>
        <w:rPr>
          <w:rFonts w:ascii="Calibri" w:hAnsi="Calibri" w:cs="Calibri"/>
          <w:color w:val="201F1E"/>
          <w:sz w:val="23"/>
          <w:szCs w:val="23"/>
        </w:rPr>
      </w:pPr>
      <w:proofErr w:type="spellStart"/>
      <w:r>
        <w:rPr>
          <w:rFonts w:ascii="Calibri" w:hAnsi="Calibri" w:cs="Calibri"/>
          <w:color w:val="0000FF"/>
          <w:sz w:val="15"/>
          <w:szCs w:val="15"/>
        </w:rPr>
        <w:t>Dr.med.Christain</w:t>
      </w:r>
      <w:proofErr w:type="spellEnd"/>
      <w:r>
        <w:rPr>
          <w:rFonts w:ascii="Calibri" w:hAnsi="Calibri" w:cs="Calibri"/>
          <w:color w:val="0000FF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color w:val="0000FF"/>
          <w:sz w:val="15"/>
          <w:szCs w:val="15"/>
        </w:rPr>
        <w:t>Humburg</w:t>
      </w:r>
      <w:proofErr w:type="spellEnd"/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09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0000FF"/>
          <w:sz w:val="15"/>
          <w:szCs w:val="15"/>
        </w:rPr>
        <w:t>Zeppelinstr. 25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09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0000FF"/>
          <w:sz w:val="15"/>
          <w:szCs w:val="15"/>
        </w:rPr>
        <w:t>55131 Mainz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0000FF"/>
          <w:sz w:val="15"/>
          <w:szCs w:val="15"/>
        </w:rPr>
        <w:t>Mail: </w:t>
      </w:r>
      <w:hyperlink r:id="rId9" w:tgtFrame="_blank" w:history="1">
        <w:r>
          <w:rPr>
            <w:rStyle w:val="Hyperlink"/>
            <w:rFonts w:ascii="Calibri" w:hAnsi="Calibri" w:cs="Calibri"/>
            <w:sz w:val="15"/>
            <w:szCs w:val="15"/>
            <w:bdr w:val="none" w:sz="0" w:space="0" w:color="auto" w:frame="1"/>
          </w:rPr>
          <w:t>humburg.ch@gmail.com</w:t>
        </w:r>
      </w:hyperlink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09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0000FF"/>
          <w:sz w:val="15"/>
          <w:szCs w:val="15"/>
        </w:rPr>
        <w:t>Tel: 06131-384794</w:t>
      </w:r>
    </w:p>
    <w:p w:rsidR="006A217F" w:rsidRDefault="006A217F" w:rsidP="006A217F">
      <w:pPr>
        <w:pStyle w:val="StandardWeb"/>
        <w:shd w:val="clear" w:color="auto" w:fill="FFFFFF"/>
        <w:spacing w:before="0" w:beforeAutospacing="0" w:after="160" w:afterAutospacing="0" w:line="209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0000FF"/>
          <w:sz w:val="15"/>
          <w:szCs w:val="15"/>
        </w:rPr>
        <w:t>01628062502</w:t>
      </w:r>
    </w:p>
    <w:p w:rsidR="00D2681D" w:rsidRDefault="00D2681D">
      <w:bookmarkStart w:id="0" w:name="_GoBack"/>
      <w:bookmarkEnd w:id="0"/>
    </w:p>
    <w:sectPr w:rsidR="00D26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7F"/>
    <w:rsid w:val="006A217F"/>
    <w:rsid w:val="00D2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3710-B0B8-4C6A-BAEC-718C0C7F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A2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%3A%2F%2Fwww.rexresearch.com%2Fantelman%2Fsilverox.htm&amp;data=02%7C01%7C%7C743efae5968b40c1d06a08d7cc0aa8d7%7C84df9e7fe9f640afb435aaaaaaaaaaaa%7C1%7C0%7C637202219566553588&amp;sdata=VjrcqD3LIRzE0%2FnuWVlZVbQYBrPJB1SwJixYPtGMp08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%3A%2F%2Fwww.rexresearch.com%2F&amp;data=02%7C01%7C%7C743efae5968b40c1d06a08d7cc0aa8d7%7C84df9e7fe9f640afb435aaaaaaaaaaaa%7C1%7C0%7C637202219566553588&amp;sdata=hMk1Iy%2BQmFC906I%2F%2BGBWDO341zWl66wJV6MwqQVm6a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%3A%2F%2Fwww.makana.de%2F&amp;data=02%7C01%7C%7C743efae5968b40c1d06a08d7cc0aa8d7%7C84df9e7fe9f640afb435aaaaaaaaaaaa%7C1%7C0%7C637202219566543583&amp;sdata=O4cFyMnr1zKOlGrNtLvkzBG8Rmn7ezKblOMxVZl8IpQ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0.safelinks.protection.outlook.com/?url=http%3A%2F%2Fwww.highemature.com%2F&amp;data=02%7C01%7C%7C743efae5968b40c1d06a08d7cc0aa8d7%7C84df9e7fe9f640afb435aaaaaaaaaaaa%7C1%7C0%7C637202219566543583&amp;sdata=hJt5OQBWvhjRmb7HBXnB1NKO6WTE43T9P3%2FCrdK2NG8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%3A%2F%2Fwww.biomenta.de%2F&amp;data=02%7C01%7C%7C743efae5968b40c1d06a08d7cc0aa8d7%7C84df9e7fe9f640afb435aaaaaaaaaaaa%7C1%7C0%7C637202219566533574&amp;sdata=zl2FsjadGwbAXDggajvYpp81EOPwuYtZOkWTNurfvQ0%3D&amp;reserved=0" TargetMode="External"/><Relationship Id="rId9" Type="http://schemas.openxmlformats.org/officeDocument/2006/relationships/hyperlink" Target="mailto:humburg.ch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6005</Characters>
  <Application>Microsoft Office Word</Application>
  <DocSecurity>0</DocSecurity>
  <Lines>50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Koch</dc:creator>
  <cp:keywords/>
  <dc:description/>
  <cp:lastModifiedBy>Birgit Koch</cp:lastModifiedBy>
  <cp:revision>1</cp:revision>
  <dcterms:created xsi:type="dcterms:W3CDTF">2020-03-23T09:52:00Z</dcterms:created>
  <dcterms:modified xsi:type="dcterms:W3CDTF">2020-03-23T09:53:00Z</dcterms:modified>
</cp:coreProperties>
</file>